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Обычный"/>
        <w:spacing w:after="0" w:line="240" w:lineRule="auto"/>
        <w:jc w:val="center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 w:hint="default"/>
          <w:sz w:val="24"/>
          <w:szCs w:val="24"/>
          <w:rtl w:val="0"/>
          <w:lang w:val="ru-RU"/>
        </w:rPr>
        <w:t>Первый Евразийский конгресс лингвистов</w:t>
      </w:r>
    </w:p>
    <w:p>
      <w:pPr>
        <w:pStyle w:val="Обычный"/>
        <w:spacing w:after="0" w:line="240" w:lineRule="auto"/>
        <w:jc w:val="center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Гончаров А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А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Ярошенко П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В</w:t>
      </w:r>
      <w:r>
        <w:rPr>
          <w:rFonts w:ascii="Times New Roman" w:hAnsi="Times New Roman"/>
          <w:sz w:val="24"/>
          <w:szCs w:val="24"/>
          <w:rtl w:val="0"/>
          <w:lang w:val="ru-RU"/>
        </w:rPr>
        <w:t>.</w:t>
      </w:r>
    </w:p>
    <w:p>
      <w:pPr>
        <w:pStyle w:val="Обычный"/>
        <w:spacing w:after="0" w:line="240" w:lineRule="auto"/>
        <w:jc w:val="center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 w:hint="default"/>
          <w:sz w:val="24"/>
          <w:szCs w:val="24"/>
          <w:rtl w:val="0"/>
          <w:lang w:val="ru-RU"/>
        </w:rPr>
        <w:t>Тезисы доклада</w:t>
      </w:r>
    </w:p>
    <w:p>
      <w:pPr>
        <w:pStyle w:val="Обычный"/>
        <w:spacing w:after="0" w:line="240" w:lineRule="auto"/>
        <w:jc w:val="center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 w:hint="default"/>
          <w:sz w:val="24"/>
          <w:szCs w:val="24"/>
          <w:rtl w:val="0"/>
          <w:lang w:val="ru-RU"/>
        </w:rPr>
        <w:t>Тема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«Имплицитные логико</w:t>
      </w:r>
      <w:r>
        <w:rPr>
          <w:rFonts w:ascii="Times New Roman" w:hAnsi="Times New Roman"/>
          <w:sz w:val="24"/>
          <w:szCs w:val="24"/>
          <w:rtl w:val="0"/>
          <w:lang w:val="ru-RU"/>
        </w:rPr>
        <w:t>-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семантические отношения и принципы их аннотирования»</w:t>
      </w:r>
    </w:p>
    <w:p>
      <w:pPr>
        <w:pStyle w:val="Обычный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4"/>
          <w:szCs w:val="24"/>
        </w:rPr>
      </w:pPr>
    </w:p>
    <w:p>
      <w:pPr>
        <w:pStyle w:val="Обычный"/>
        <w:spacing w:after="0" w:line="240" w:lineRule="auto"/>
        <w:ind w:firstLine="851"/>
        <w:jc w:val="both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 w:hint="default"/>
          <w:sz w:val="24"/>
          <w:szCs w:val="24"/>
          <w:rtl w:val="0"/>
          <w:lang w:val="ru-RU"/>
        </w:rPr>
        <w:t>А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 xml:space="preserve">нализ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дискурса в настоящий момент является актуальным направлением в лингвистике</w:t>
      </w:r>
      <w:r>
        <w:rPr>
          <w:rFonts w:ascii="Times New Roman" w:hAnsi="Times New Roman"/>
          <w:sz w:val="24"/>
          <w:szCs w:val="24"/>
          <w:rtl w:val="0"/>
          <w:lang w:val="ru-RU"/>
        </w:rPr>
        <w:t>.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 xml:space="preserve"> В рамках этой тематики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 xml:space="preserve"> рассматривается один из аспектов связности текста – логико</w:t>
      </w:r>
      <w:r>
        <w:rPr>
          <w:rFonts w:ascii="Times New Roman" w:hAnsi="Times New Roman"/>
          <w:sz w:val="24"/>
          <w:szCs w:val="24"/>
          <w:rtl w:val="0"/>
          <w:lang w:val="ru-RU"/>
        </w:rPr>
        <w:t>-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 xml:space="preserve">семантические отношения </w:t>
      </w:r>
      <w:r>
        <w:rPr>
          <w:rFonts w:ascii="Times New Roman" w:hAnsi="Times New Roman"/>
          <w:sz w:val="24"/>
          <w:szCs w:val="24"/>
          <w:rtl w:val="0"/>
          <w:lang w:val="ru-RU"/>
        </w:rPr>
        <w:t>(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ЛСО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)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между единицами с пропозициональным содержанием</w:t>
      </w:r>
      <w:r>
        <w:rPr>
          <w:rFonts w:ascii="Times New Roman" w:hAnsi="Times New Roman"/>
          <w:sz w:val="24"/>
          <w:szCs w:val="24"/>
          <w:rtl w:val="0"/>
          <w:lang w:val="ru-RU"/>
        </w:rPr>
        <w:t>.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 xml:space="preserve">ЛСО могут быть эксплицитными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—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 xml:space="preserve"> выраженными при помощи языкового средства </w:t>
      </w:r>
      <w:r>
        <w:rPr>
          <w:rFonts w:ascii="Times New Roman" w:hAnsi="Times New Roman"/>
          <w:sz w:val="24"/>
          <w:szCs w:val="24"/>
          <w:rtl w:val="0"/>
          <w:lang w:val="ru-RU"/>
        </w:rPr>
        <w:t>(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коннектора или иного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показателя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),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 xml:space="preserve">и имплицитными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—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 xml:space="preserve"> не выраженными ни одним из этих средств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Так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 xml:space="preserve">в примере 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1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 xml:space="preserve">содержится эксплицитное ЛСО причины </w:t>
      </w:r>
      <w:r>
        <w:rPr>
          <w:rFonts w:ascii="Times New Roman" w:hAnsi="Times New Roman"/>
          <w:sz w:val="24"/>
          <w:szCs w:val="24"/>
          <w:rtl w:val="0"/>
          <w:lang w:val="ru-RU"/>
        </w:rPr>
        <w:t>(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 xml:space="preserve">выражено при помощи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ru-RU"/>
        </w:rPr>
        <w:t>потому что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),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 xml:space="preserve">а в примере </w:t>
      </w:r>
      <w:r>
        <w:rPr>
          <w:rFonts w:ascii="Times New Roman" w:hAnsi="Times New Roman"/>
          <w:sz w:val="24"/>
          <w:szCs w:val="24"/>
          <w:rtl w:val="0"/>
          <w:lang w:val="ru-RU"/>
        </w:rPr>
        <w:t>2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 xml:space="preserve"> — имплицитно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е</w:t>
      </w:r>
      <w:r>
        <w:rPr>
          <w:rFonts w:ascii="Times New Roman" w:hAnsi="Times New Roman"/>
          <w:sz w:val="24"/>
          <w:szCs w:val="24"/>
          <w:rtl w:val="0"/>
          <w:lang w:val="ru-RU"/>
        </w:rPr>
        <w:t>.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 </w:t>
      </w:r>
    </w:p>
    <w:p>
      <w:pPr>
        <w:pStyle w:val="Обычный"/>
        <w:spacing w:after="0" w:line="240" w:lineRule="auto"/>
        <w:ind w:firstLine="851"/>
        <w:jc w:val="both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  <w:lang w:val="ru-RU"/>
        </w:rPr>
        <w:t xml:space="preserve">(1)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ru-RU"/>
        </w:rPr>
        <w:t>Он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a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ru-RU"/>
        </w:rPr>
        <w:t xml:space="preserve">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ru-RU"/>
        </w:rPr>
        <w:t>опоздала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ru-RU"/>
        </w:rPr>
        <w:t xml:space="preserve">потому что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ru-RU"/>
        </w:rPr>
        <w:t>долго не было автобуса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ru-RU"/>
        </w:rPr>
        <w:t>.</w:t>
      </w:r>
    </w:p>
    <w:p>
      <w:pPr>
        <w:pStyle w:val="Обычный"/>
        <w:spacing w:after="0" w:line="240" w:lineRule="auto"/>
        <w:ind w:firstLine="851"/>
        <w:jc w:val="both"/>
        <w:rPr>
          <w:rFonts w:ascii="Times New Roman" w:cs="Times New Roman" w:hAnsi="Times New Roman" w:eastAsia="Times New Roman"/>
          <w:i w:val="1"/>
          <w:iCs w:val="1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  <w:lang w:val="ru-RU"/>
        </w:rPr>
        <w:t xml:space="preserve">(2)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ru-RU"/>
        </w:rPr>
        <w:t>Он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a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ru-RU"/>
        </w:rPr>
        <w:t xml:space="preserve">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ru-RU"/>
        </w:rPr>
        <w:t>опоздала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ru-RU"/>
        </w:rPr>
        <w:t>долго не было автобуса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ru-RU"/>
        </w:rPr>
        <w:t>.</w:t>
      </w:r>
    </w:p>
    <w:p>
      <w:pPr>
        <w:pStyle w:val="Обычный"/>
        <w:spacing w:after="0" w:line="240" w:lineRule="auto"/>
        <w:ind w:firstLine="851"/>
        <w:jc w:val="both"/>
        <w:rPr>
          <w:rFonts w:ascii="Times New Roman" w:cs="Times New Roman" w:hAnsi="Times New Roman" w:eastAsia="Times New Roman"/>
          <w:i w:val="1"/>
          <w:iCs w:val="1"/>
          <w:sz w:val="24"/>
          <w:szCs w:val="24"/>
        </w:rPr>
      </w:pPr>
      <w:r>
        <w:rPr>
          <w:rFonts w:ascii="Times New Roman" w:hAnsi="Times New Roman" w:hint="default"/>
          <w:sz w:val="24"/>
          <w:szCs w:val="24"/>
          <w:rtl w:val="0"/>
          <w:lang w:val="ru-RU"/>
        </w:rPr>
        <w:t xml:space="preserve">Благодаря наличию показателей поиск эксплицитных ЛСО не вызывает серьезных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сложностей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 xml:space="preserve">а определить тип ЛСО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нередко можно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по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 xml:space="preserve"> семантик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е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 xml:space="preserve"> показателя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В случае с имплицитными ЛСО все это оказывается невозможным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проблема их описания и поиска остается не решенной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 xml:space="preserve">Именно имплицитные ЛСО и находятся в центре внимания настоящего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доклада</w:t>
      </w:r>
      <w:r>
        <w:rPr>
          <w:rFonts w:ascii="Times New Roman" w:hAnsi="Times New Roman"/>
          <w:sz w:val="24"/>
          <w:szCs w:val="24"/>
          <w:rtl w:val="0"/>
          <w:lang w:val="ru-RU"/>
        </w:rPr>
        <w:t>.</w:t>
      </w:r>
    </w:p>
    <w:p>
      <w:pPr>
        <w:pStyle w:val="Обычный"/>
        <w:spacing w:after="0" w:line="240" w:lineRule="auto"/>
        <w:ind w:firstLine="851"/>
        <w:jc w:val="both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 w:hint="default"/>
          <w:sz w:val="24"/>
          <w:szCs w:val="24"/>
          <w:rtl w:val="0"/>
          <w:lang w:val="ru-RU"/>
        </w:rPr>
        <w:t xml:space="preserve">Отдельной задачей в рамках изучения ЛСО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является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 xml:space="preserve"> создани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 xml:space="preserve">е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дискурсивно аннотированных корпусов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Принципы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аннотирования корпусов разрабатываются исходя из выбранного создателями корпуса теоретического подхода к описанию структуры дискурса</w:t>
      </w:r>
      <w:r>
        <w:rPr>
          <w:rFonts w:ascii="Times New Roman" w:hAnsi="Times New Roman"/>
          <w:sz w:val="24"/>
          <w:szCs w:val="24"/>
          <w:rtl w:val="0"/>
          <w:lang w:val="ru-RU"/>
        </w:rPr>
        <w:t>.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В докладе анализируется специфика аннотирования имплицитных ЛСО в рамках подходов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 xml:space="preserve">ориентированных на анализ глобальной структуры текста 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(Taboada, Mann 2006),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 xml:space="preserve">локальной структуры текста 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(Prasad et al. 2017),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а также подхода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нацеленного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 xml:space="preserve"> на унификацию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данных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размеченных в соответствии с различными теориями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 xml:space="preserve">и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выработку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 xml:space="preserve"> единого стандарта аннотирования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 (Fu 2022; </w:t>
      </w:r>
      <w:bookmarkStart w:name="_Ref171357778" w:id="0"/>
      <w:r>
        <w:rPr>
          <w:rFonts w:ascii="Times New Roman" w:hAnsi="Times New Roman"/>
          <w:sz w:val="24"/>
          <w:szCs w:val="24"/>
          <w:rtl w:val="0"/>
          <w:lang w:val="en-US"/>
        </w:rPr>
        <w:t>Zufferey, Degand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 </w:t>
      </w:r>
      <w:bookmarkEnd w:id="0"/>
      <w:r>
        <w:rPr>
          <w:rFonts w:ascii="Times New Roman" w:hAnsi="Times New Roman"/>
          <w:sz w:val="24"/>
          <w:szCs w:val="24"/>
          <w:rtl w:val="0"/>
          <w:lang w:val="en-US"/>
        </w:rPr>
        <w:t>2024</w:t>
      </w:r>
      <w:r>
        <w:rPr>
          <w:rFonts w:ascii="Times New Roman" w:hAnsi="Times New Roman"/>
          <w:sz w:val="24"/>
          <w:szCs w:val="24"/>
          <w:rtl w:val="0"/>
          <w:lang w:val="en-US"/>
        </w:rPr>
        <w:t>)</w:t>
      </w:r>
      <w:r>
        <w:rPr>
          <w:rFonts w:ascii="Times New Roman" w:hAnsi="Times New Roman"/>
          <w:sz w:val="24"/>
          <w:szCs w:val="24"/>
          <w:rtl w:val="0"/>
          <w:lang w:val="ru-RU"/>
        </w:rPr>
        <w:t>.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Предлагается разработанный с учетом мирового опыта подход к аннотированию имплицитных ЛСО в параллельных текстах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 (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языковые пары русский</w:t>
      </w:r>
      <w:r>
        <w:rPr>
          <w:rFonts w:ascii="Times New Roman" w:hAnsi="Times New Roman"/>
          <w:sz w:val="24"/>
          <w:szCs w:val="24"/>
          <w:rtl w:val="0"/>
          <w:lang w:val="ru-RU"/>
        </w:rPr>
        <w:t>-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французский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русский</w:t>
      </w:r>
      <w:r>
        <w:rPr>
          <w:rFonts w:ascii="Times New Roman" w:hAnsi="Times New Roman"/>
          <w:sz w:val="24"/>
          <w:szCs w:val="24"/>
          <w:rtl w:val="0"/>
          <w:lang w:val="ru-RU"/>
        </w:rPr>
        <w:t>-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английский</w:t>
      </w:r>
      <w:r>
        <w:rPr>
          <w:rFonts w:ascii="Times New Roman" w:hAnsi="Times New Roman"/>
          <w:sz w:val="24"/>
          <w:szCs w:val="24"/>
          <w:rtl w:val="0"/>
          <w:lang w:val="ru-RU"/>
        </w:rPr>
        <w:t>)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Объектом аннотирования является переводное соответствие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т</w:t>
      </w:r>
      <w:r>
        <w:rPr>
          <w:rFonts w:ascii="Times New Roman" w:hAnsi="Times New Roman"/>
          <w:sz w:val="24"/>
          <w:szCs w:val="24"/>
          <w:rtl w:val="0"/>
          <w:lang w:val="ru-RU"/>
        </w:rPr>
        <w:t>.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е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пара фрагментов оригинала и перевода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где в русскоязычном тексте показатели ЛСО отсутствуют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а в тексте на другом языке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напротив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имеются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 xml:space="preserve">В процессе аннотирования формируются блоки текста оригинала и перевода </w:t>
      </w:r>
      <w:r>
        <w:rPr>
          <w:rFonts w:ascii="Times New Roman" w:hAnsi="Times New Roman"/>
          <w:sz w:val="24"/>
          <w:szCs w:val="24"/>
          <w:rtl w:val="0"/>
          <w:lang w:val="ru-RU"/>
        </w:rPr>
        <w:t>(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их объем должен быть необходимым и достаточным для анализа ЛСО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),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 xml:space="preserve">выделяются аргументы ЛСО и показатели </w:t>
      </w:r>
      <w:r>
        <w:rPr>
          <w:rFonts w:ascii="Times New Roman" w:hAnsi="Times New Roman"/>
          <w:sz w:val="24"/>
          <w:szCs w:val="24"/>
          <w:rtl w:val="0"/>
          <w:lang w:val="ru-RU"/>
        </w:rPr>
        <w:t>(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при наличии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),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затем выявляются признаки блоков текста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Таким образом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 xml:space="preserve">результатом работы становится аннотированное переводное соответствие </w:t>
      </w:r>
      <w:r>
        <w:rPr>
          <w:rFonts w:ascii="Times New Roman" w:hAnsi="Times New Roman"/>
          <w:sz w:val="24"/>
          <w:szCs w:val="24"/>
          <w:rtl w:val="0"/>
          <w:lang w:val="ru-RU"/>
        </w:rPr>
        <w:t>(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сохраняется в базе данных</w:t>
      </w:r>
      <w:r>
        <w:rPr>
          <w:rFonts w:ascii="Times New Roman" w:hAnsi="Times New Roman"/>
          <w:sz w:val="24"/>
          <w:szCs w:val="24"/>
          <w:rtl w:val="0"/>
          <w:lang w:val="ru-RU"/>
        </w:rPr>
        <w:t>)</w:t>
      </w:r>
      <w:r>
        <w:rPr>
          <w:rFonts w:ascii="Times New Roman" w:hAnsi="Times New Roman"/>
          <w:sz w:val="24"/>
          <w:szCs w:val="24"/>
          <w:rtl w:val="0"/>
          <w:lang w:val="ru-RU"/>
        </w:rPr>
        <w:t>.</w:t>
      </w:r>
    </w:p>
    <w:p>
      <w:pPr>
        <w:pStyle w:val="Обычный"/>
        <w:spacing w:after="0" w:line="240" w:lineRule="auto"/>
        <w:ind w:firstLine="851"/>
        <w:jc w:val="both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 w:hint="default"/>
          <w:sz w:val="24"/>
          <w:szCs w:val="24"/>
          <w:rtl w:val="0"/>
          <w:lang w:val="ru-RU"/>
        </w:rPr>
        <w:t>Признаки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 xml:space="preserve">разделены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на группы в зависимости от того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к какой именно части блока текста они относятся</w:t>
      </w:r>
      <w:r>
        <w:rPr>
          <w:rFonts w:ascii="Times New Roman" w:hAnsi="Times New Roman"/>
          <w:sz w:val="24"/>
          <w:szCs w:val="24"/>
          <w:rtl w:val="0"/>
          <w:lang w:val="ru-RU"/>
        </w:rPr>
        <w:t>.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 xml:space="preserve"> В докладе будут рассмотрены п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ризнаки блока текста в целом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 (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тип ЛСО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);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п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ризнаки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относящиеся к одному из аргументов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 (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синтаксическая характеристика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;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указание на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 xml:space="preserve"> лексические единицы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значимые для анализа ЛСО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);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п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ризнаки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относящиеся к обоим аргументам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 (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типы соотношения аргументов на лексическом уровне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;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на уровне пунктуации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);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 xml:space="preserve">признаки переводного соответствия </w:t>
      </w:r>
      <w:r>
        <w:rPr>
          <w:rFonts w:ascii="Times New Roman" w:hAnsi="Times New Roman"/>
          <w:sz w:val="24"/>
          <w:szCs w:val="24"/>
          <w:rtl w:val="0"/>
          <w:lang w:val="ru-RU"/>
        </w:rPr>
        <w:t>(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например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можно указать на то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 xml:space="preserve">что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в переводе изменена структура блока текста оригинала</w:t>
      </w:r>
      <w:r>
        <w:rPr>
          <w:rFonts w:ascii="Times New Roman" w:hAnsi="Times New Roman"/>
          <w:sz w:val="24"/>
          <w:szCs w:val="24"/>
          <w:rtl w:val="0"/>
          <w:lang w:val="ru-RU"/>
        </w:rPr>
        <w:t>)</w:t>
      </w:r>
      <w:r>
        <w:rPr>
          <w:rFonts w:ascii="Times New Roman" w:hAnsi="Times New Roman"/>
          <w:sz w:val="24"/>
          <w:szCs w:val="24"/>
          <w:rtl w:val="0"/>
          <w:lang w:val="ru-RU"/>
        </w:rPr>
        <w:t>.</w:t>
      </w:r>
    </w:p>
    <w:p>
      <w:pPr>
        <w:pStyle w:val="Обычный"/>
        <w:spacing w:after="0" w:line="240" w:lineRule="auto"/>
        <w:ind w:firstLine="851"/>
        <w:jc w:val="both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 w:hint="default"/>
          <w:sz w:val="24"/>
          <w:szCs w:val="24"/>
          <w:rtl w:val="0"/>
          <w:lang w:val="ru-RU"/>
        </w:rPr>
        <w:t>Будут представлены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 xml:space="preserve"> следующие принципы аннотирования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 xml:space="preserve"> имплицитных ЛСО</w:t>
      </w:r>
      <w:r>
        <w:rPr>
          <w:rFonts w:ascii="Times New Roman" w:hAnsi="Times New Roman"/>
          <w:sz w:val="24"/>
          <w:szCs w:val="24"/>
          <w:rtl w:val="0"/>
          <w:lang w:val="ru-RU"/>
        </w:rPr>
        <w:t>: 1)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 xml:space="preserve"> необходимо выделять границы аргументов ЛСО </w:t>
      </w:r>
      <w:r>
        <w:rPr>
          <w:rFonts w:ascii="Times New Roman" w:hAnsi="Times New Roman"/>
          <w:sz w:val="24"/>
          <w:szCs w:val="24"/>
          <w:rtl w:val="0"/>
          <w:lang w:val="ru-RU"/>
        </w:rPr>
        <w:t>(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обеспечивается наглядность и удобство анализа</w:t>
      </w:r>
      <w:r>
        <w:rPr>
          <w:rFonts w:ascii="Times New Roman" w:hAnsi="Times New Roman"/>
          <w:sz w:val="24"/>
          <w:szCs w:val="24"/>
          <w:rtl w:val="0"/>
          <w:lang w:val="ru-RU"/>
        </w:rPr>
        <w:t>); 2)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 xml:space="preserve"> признаки блоков текста должны образовывать иерархическую структуру </w:t>
      </w:r>
      <w:r>
        <w:rPr>
          <w:rFonts w:ascii="Times New Roman" w:hAnsi="Times New Roman"/>
          <w:sz w:val="24"/>
          <w:szCs w:val="24"/>
          <w:rtl w:val="0"/>
          <w:lang w:val="ru-RU"/>
        </w:rPr>
        <w:t>(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обеспечивается удобство работы с большим числом признаков</w:t>
      </w:r>
      <w:r>
        <w:rPr>
          <w:rFonts w:ascii="Times New Roman" w:hAnsi="Times New Roman"/>
          <w:sz w:val="24"/>
          <w:szCs w:val="24"/>
          <w:rtl w:val="0"/>
          <w:lang w:val="ru-RU"/>
        </w:rPr>
        <w:t>); 3)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 если признак блока текста имеет лексический показатель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 xml:space="preserve">то этот показатель должен быть выделен </w:t>
      </w:r>
      <w:r>
        <w:rPr>
          <w:rFonts w:ascii="Times New Roman" w:hAnsi="Times New Roman"/>
          <w:sz w:val="24"/>
          <w:szCs w:val="24"/>
          <w:rtl w:val="0"/>
          <w:lang w:val="ru-RU"/>
        </w:rPr>
        <w:t>(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обеспечивается более высокая обоснованность решений разметчика</w:t>
      </w:r>
      <w:r>
        <w:rPr>
          <w:rFonts w:ascii="Times New Roman" w:hAnsi="Times New Roman"/>
          <w:sz w:val="24"/>
          <w:szCs w:val="24"/>
          <w:rtl w:val="0"/>
          <w:lang w:val="ru-RU"/>
        </w:rPr>
        <w:t>).</w:t>
      </w:r>
    </w:p>
    <w:p>
      <w:pPr>
        <w:pStyle w:val="Обычный"/>
        <w:spacing w:after="0" w:line="240" w:lineRule="auto"/>
        <w:ind w:firstLine="851"/>
        <w:jc w:val="both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Обычный"/>
        <w:spacing w:after="0" w:line="240" w:lineRule="auto"/>
        <w:ind w:firstLine="851"/>
        <w:jc w:val="both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Обычный"/>
        <w:spacing w:after="0" w:line="240" w:lineRule="auto"/>
        <w:ind w:firstLine="851"/>
        <w:jc w:val="both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Обычный"/>
        <w:spacing w:after="0" w:line="240" w:lineRule="auto"/>
        <w:ind w:firstLine="1"/>
        <w:jc w:val="center"/>
        <w:rPr>
          <w:rFonts w:ascii="Times New Roman" w:cs="Times New Roman" w:hAnsi="Times New Roman" w:eastAsia="Times New Roman"/>
          <w:b w:val="1"/>
          <w:bCs w:val="1"/>
          <w:sz w:val="24"/>
          <w:szCs w:val="24"/>
        </w:rPr>
      </w:pPr>
      <w:r>
        <w:rPr>
          <w:rFonts w:ascii="Times New Roman" w:hAnsi="Times New Roman" w:hint="default"/>
          <w:b w:val="1"/>
          <w:bCs w:val="1"/>
          <w:sz w:val="24"/>
          <w:szCs w:val="24"/>
          <w:rtl w:val="0"/>
          <w:lang w:val="ru-RU"/>
        </w:rPr>
        <w:t>Список литературы</w:t>
      </w:r>
    </w:p>
    <w:p>
      <w:pPr>
        <w:pStyle w:val="Обычный"/>
        <w:spacing w:after="0" w:line="240" w:lineRule="auto"/>
        <w:ind w:firstLine="1"/>
        <w:jc w:val="both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  <w:lang w:val="en-US"/>
        </w:rPr>
        <w:t xml:space="preserve">1. </w:t>
      </w:r>
      <w:r>
        <w:rPr>
          <w:rFonts w:ascii="Times New Roman" w:hAnsi="Times New Roman"/>
          <w:sz w:val="24"/>
          <w:szCs w:val="24"/>
          <w:rtl w:val="0"/>
          <w:lang w:val="ru-RU"/>
        </w:rPr>
        <w:t>Fu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 </w:t>
      </w:r>
      <w:r>
        <w:rPr>
          <w:rFonts w:ascii="Times New Roman" w:hAnsi="Times New Roman"/>
          <w:sz w:val="24"/>
          <w:szCs w:val="24"/>
          <w:rtl w:val="0"/>
          <w:lang w:val="ru-RU"/>
        </w:rPr>
        <w:t>Y. Towards Unification of Discourse Annotation Frameworks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  <w:rtl w:val="0"/>
          <w:lang w:val="ru-RU"/>
        </w:rPr>
        <w:t>Muresan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 S.</w:t>
      </w:r>
      <w:r>
        <w:rPr>
          <w:rFonts w:ascii="Times New Roman" w:hAnsi="Times New Roman"/>
          <w:sz w:val="24"/>
          <w:szCs w:val="24"/>
          <w:rtl w:val="0"/>
          <w:lang w:val="ru-RU"/>
        </w:rPr>
        <w:t>, Nakov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 P.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Villavicencio 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A. (eds.). </w:t>
      </w:r>
      <w:r>
        <w:rPr>
          <w:rFonts w:ascii="Times New Roman" w:hAnsi="Times New Roman"/>
          <w:sz w:val="24"/>
          <w:szCs w:val="24"/>
          <w:rtl w:val="0"/>
          <w:lang w:val="ru-RU"/>
        </w:rPr>
        <w:t>Proceedings of the 60th Annual Meeting of the Association for Computational Linguistics.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rtl w:val="0"/>
          <w:lang w:val="ru-RU"/>
        </w:rPr>
        <w:t>Dublin: Association for Computational Linguistics, 2022. P. 132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–</w:t>
      </w:r>
      <w:r>
        <w:rPr>
          <w:rFonts w:ascii="Times New Roman" w:hAnsi="Times New Roman"/>
          <w:sz w:val="24"/>
          <w:szCs w:val="24"/>
          <w:rtl w:val="0"/>
          <w:lang w:val="ru-RU"/>
        </w:rPr>
        <w:t>142.</w:t>
      </w:r>
    </w:p>
    <w:p>
      <w:pPr>
        <w:pStyle w:val="Обычный"/>
        <w:spacing w:after="0" w:line="240" w:lineRule="auto"/>
        <w:ind w:firstLine="1"/>
        <w:jc w:val="both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  <w:lang w:val="en-US"/>
        </w:rPr>
        <w:t xml:space="preserve">2. </w:t>
      </w:r>
      <w:r>
        <w:rPr>
          <w:rFonts w:ascii="Times New Roman" w:hAnsi="Times New Roman"/>
          <w:sz w:val="24"/>
          <w:szCs w:val="24"/>
          <w:rtl w:val="0"/>
          <w:lang w:val="ru-RU"/>
        </w:rPr>
        <w:t>Prasad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 </w:t>
      </w:r>
      <w:r>
        <w:rPr>
          <w:rFonts w:ascii="Times New Roman" w:hAnsi="Times New Roman"/>
          <w:sz w:val="24"/>
          <w:szCs w:val="24"/>
          <w:rtl w:val="0"/>
          <w:lang w:val="ru-RU"/>
        </w:rPr>
        <w:t>R., Webber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 </w:t>
      </w:r>
      <w:r>
        <w:rPr>
          <w:rFonts w:ascii="Times New Roman" w:hAnsi="Times New Roman"/>
          <w:sz w:val="24"/>
          <w:szCs w:val="24"/>
          <w:rtl w:val="0"/>
          <w:lang w:val="ru-RU"/>
        </w:rPr>
        <w:t>B., Joshi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 </w:t>
      </w:r>
      <w:r>
        <w:rPr>
          <w:rFonts w:ascii="Times New Roman" w:hAnsi="Times New Roman"/>
          <w:sz w:val="24"/>
          <w:szCs w:val="24"/>
          <w:rtl w:val="0"/>
          <w:lang w:val="ru-RU"/>
        </w:rPr>
        <w:t>A. The Penn Discourse Treebank: An Annotated Corpus of Discourse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rtl w:val="0"/>
          <w:lang w:val="ru-RU"/>
        </w:rPr>
        <w:t>Relations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  <w:rtl w:val="0"/>
          <w:lang w:val="ru-RU"/>
        </w:rPr>
        <w:t>Ide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 N.,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 Pustejovsky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rtl w:val="0"/>
          <w:lang w:val="ru-RU"/>
        </w:rPr>
        <w:t>J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. (eds.). </w:t>
      </w:r>
      <w:r>
        <w:rPr>
          <w:rFonts w:ascii="Times New Roman" w:hAnsi="Times New Roman"/>
          <w:sz w:val="24"/>
          <w:szCs w:val="24"/>
          <w:rtl w:val="0"/>
          <w:lang w:val="ru-RU"/>
        </w:rPr>
        <w:t>Handbook of Linguistic Annotation. Dordrecht: Springer Science+Business Media, 2017. P. 1197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–</w:t>
      </w:r>
      <w:r>
        <w:rPr>
          <w:rFonts w:ascii="Times New Roman" w:hAnsi="Times New Roman"/>
          <w:sz w:val="24"/>
          <w:szCs w:val="24"/>
          <w:rtl w:val="0"/>
          <w:lang w:val="ru-RU"/>
        </w:rPr>
        <w:t>1217.</w:t>
      </w:r>
    </w:p>
    <w:p>
      <w:pPr>
        <w:pStyle w:val="Обычный"/>
        <w:spacing w:after="0" w:line="240" w:lineRule="auto"/>
        <w:ind w:firstLine="1"/>
        <w:jc w:val="both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  <w:lang w:val="ru-RU"/>
        </w:rPr>
        <w:t>3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  <w:rtl w:val="0"/>
          <w:lang w:val="ru-RU"/>
        </w:rPr>
        <w:t>Taboada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 </w:t>
      </w:r>
      <w:r>
        <w:rPr>
          <w:rFonts w:ascii="Times New Roman" w:hAnsi="Times New Roman"/>
          <w:sz w:val="24"/>
          <w:szCs w:val="24"/>
          <w:rtl w:val="0"/>
          <w:lang w:val="ru-RU"/>
        </w:rPr>
        <w:t>M., Mann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 </w:t>
      </w:r>
      <w:r>
        <w:rPr>
          <w:rFonts w:ascii="Times New Roman" w:hAnsi="Times New Roman"/>
          <w:sz w:val="24"/>
          <w:szCs w:val="24"/>
          <w:rtl w:val="0"/>
          <w:lang w:val="ru-RU"/>
        </w:rPr>
        <w:t>W.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 </w:t>
      </w:r>
      <w:r>
        <w:rPr>
          <w:rFonts w:ascii="Times New Roman" w:hAnsi="Times New Roman"/>
          <w:sz w:val="24"/>
          <w:szCs w:val="24"/>
          <w:rtl w:val="0"/>
          <w:lang w:val="ru-RU"/>
        </w:rPr>
        <w:t>C. Rhetorical Structure Theory: Looking back and moving ahead // Discourse Studies</w:t>
      </w:r>
      <w:r>
        <w:rPr>
          <w:rFonts w:ascii="Times New Roman" w:hAnsi="Times New Roman"/>
          <w:sz w:val="24"/>
          <w:szCs w:val="24"/>
          <w:rtl w:val="0"/>
          <w:lang w:val="en-US"/>
        </w:rPr>
        <w:t>.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 2006. 8(3). P. 423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–</w:t>
      </w:r>
      <w:r>
        <w:rPr>
          <w:rFonts w:ascii="Times New Roman" w:hAnsi="Times New Roman"/>
          <w:sz w:val="24"/>
          <w:szCs w:val="24"/>
          <w:rtl w:val="0"/>
          <w:lang w:val="ru-RU"/>
        </w:rPr>
        <w:t>459.</w:t>
      </w:r>
    </w:p>
    <w:p>
      <w:pPr>
        <w:pStyle w:val="Обычный"/>
        <w:spacing w:after="0" w:line="240" w:lineRule="auto"/>
        <w:ind w:firstLine="1"/>
        <w:jc w:val="both"/>
      </w:pPr>
      <w:r>
        <w:rPr>
          <w:rFonts w:ascii="Times New Roman" w:hAnsi="Times New Roman"/>
          <w:sz w:val="24"/>
          <w:szCs w:val="24"/>
          <w:rtl w:val="0"/>
          <w:lang w:val="ru-RU"/>
        </w:rPr>
        <w:t>4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  <w:rtl w:val="0"/>
          <w:lang w:val="ru-RU"/>
        </w:rPr>
        <w:t>Zufferey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 </w:t>
      </w:r>
      <w:r>
        <w:rPr>
          <w:rFonts w:ascii="Times New Roman" w:hAnsi="Times New Roman"/>
          <w:sz w:val="24"/>
          <w:szCs w:val="24"/>
          <w:rtl w:val="0"/>
          <w:lang w:val="ru-RU"/>
        </w:rPr>
        <w:t>S</w:t>
      </w:r>
      <w:r>
        <w:rPr>
          <w:rFonts w:ascii="Times New Roman" w:hAnsi="Times New Roman"/>
          <w:sz w:val="24"/>
          <w:szCs w:val="24"/>
          <w:rtl w:val="0"/>
          <w:lang w:val="ru-RU"/>
        </w:rPr>
        <w:t>.</w:t>
      </w:r>
      <w:r>
        <w:rPr>
          <w:rFonts w:ascii="Times New Roman" w:hAnsi="Times New Roman"/>
          <w:sz w:val="24"/>
          <w:szCs w:val="24"/>
          <w:rtl w:val="0"/>
          <w:lang w:val="ru-RU"/>
        </w:rPr>
        <w:t>, Degand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 </w:t>
      </w:r>
      <w:r>
        <w:rPr>
          <w:rFonts w:ascii="Times New Roman" w:hAnsi="Times New Roman"/>
          <w:sz w:val="24"/>
          <w:szCs w:val="24"/>
          <w:rtl w:val="0"/>
          <w:lang w:val="ru-RU"/>
        </w:rPr>
        <w:t>L. Connectives and Discourse Relations. Key Topics in Semantics and Pragmatics. Cambridge: Cambridge University Press, 2024.</w:t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Колонтитулы">
    <w:name w:val="Колонтитулы"/>
    <w:next w:val="Колонтитулы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Calibri" w:cs="Arial Unicode MS" w:hAnsi="Calibri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